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680" w:left="0"/>
        <w:contextualSpacing w:val="1"/>
        <w:jc w:val="center"/>
        <w:rPr>
          <w:rFonts w:ascii="XO Thames" w:hAnsi="XO Thames"/>
          <w:sz w:val="28"/>
        </w:rPr>
      </w:pPr>
      <w:r>
        <w:drawing>
          <wp:inline>
            <wp:extent cx="3140075" cy="200263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140075" cy="20026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 w:firstLine="680" w:left="0"/>
        <w:contextualSpacing w:val="1"/>
        <w:jc w:val="both"/>
        <w:rPr>
          <w:rFonts w:ascii="XO Thames" w:hAnsi="XO Thames"/>
          <w:sz w:val="28"/>
        </w:rPr>
      </w:pPr>
    </w:p>
    <w:p w14:paraId="03000000">
      <w:pPr>
        <w:spacing w:after="0" w:line="240" w:lineRule="auto"/>
        <w:ind w:firstLine="680" w:left="0"/>
        <w:contextualSpacing w:val="1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В Министерстве образования Вологодской области 19 декабря 2024 года </w:t>
      </w:r>
      <w:r>
        <w:rPr>
          <w:rFonts w:ascii="XO Thames" w:hAnsi="XO Thames"/>
          <w:sz w:val="27"/>
        </w:rPr>
        <w:t xml:space="preserve"> состоялось </w:t>
      </w:r>
      <w:r>
        <w:rPr>
          <w:rFonts w:ascii="XO Thames" w:hAnsi="XO Thames"/>
          <w:sz w:val="27"/>
        </w:rPr>
        <w:t>заседание раб</w:t>
      </w:r>
      <w:r>
        <w:rPr>
          <w:rFonts w:ascii="XO Thames" w:hAnsi="XO Thames"/>
          <w:sz w:val="27"/>
        </w:rPr>
        <w:t>очей группы по реализации мероприятий, направленных на   снижение бюрократической  нагрузки на педагогических работников.</w:t>
      </w:r>
    </w:p>
    <w:p w14:paraId="04000000">
      <w:pPr>
        <w:ind w:firstLine="567" w:left="0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Участники обсудили нормативные изменения, регламентирующие   </w:t>
      </w:r>
      <w:r>
        <w:rPr>
          <w:rFonts w:ascii="XO Thames" w:hAnsi="XO Thames"/>
          <w:sz w:val="27"/>
        </w:rPr>
        <w:t>снижение  нагрузки на педагогических работников и образовательные организации</w:t>
      </w:r>
      <w:r>
        <w:rPr>
          <w:rFonts w:ascii="XO Thames" w:hAnsi="XO Thames"/>
          <w:sz w:val="27"/>
        </w:rPr>
        <w:t>, подвели итоги мониторингов по анализу локальных нормативных актов школ, проведенных</w:t>
      </w:r>
      <w:r>
        <w:rPr>
          <w:rFonts w:ascii="XO Thames" w:hAnsi="XO Thames"/>
          <w:sz w:val="27"/>
        </w:rPr>
        <w:t xml:space="preserve"> контролирующими органами, </w:t>
      </w:r>
      <w:r>
        <w:rPr>
          <w:rFonts w:ascii="XO Thames" w:hAnsi="XO Thames"/>
          <w:sz w:val="27"/>
        </w:rPr>
        <w:t xml:space="preserve">отметили высокое количество запросов, направляемых в образовательные организации из различных ведомств и организаций,  обратили внимание на подмену  уроков платными мероприятиями сторонними лицами, обсудили </w:t>
      </w:r>
      <w:r>
        <w:rPr>
          <w:rFonts w:ascii="XO Thames" w:hAnsi="XO Thames"/>
          <w:sz w:val="27"/>
        </w:rPr>
        <w:t xml:space="preserve">введение  </w:t>
      </w:r>
      <w:r>
        <w:rPr>
          <w:rFonts w:ascii="XO Thames" w:hAnsi="XO Thames"/>
          <w:sz w:val="27"/>
        </w:rPr>
        <w:t>чат-бота «Помощник Рособрнадзора».</w:t>
      </w:r>
    </w:p>
    <w:p w14:paraId="05000000">
      <w:pPr>
        <w:spacing w:after="0"/>
        <w:ind w:firstLine="680" w:left="0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Приняты ряд решений,</w:t>
      </w:r>
      <w:r>
        <w:rPr>
          <w:rFonts w:ascii="XO Thames" w:hAnsi="XO Thames"/>
          <w:sz w:val="27"/>
        </w:rPr>
        <w:t xml:space="preserve"> основными из которых являются следующие:</w:t>
      </w:r>
    </w:p>
    <w:p w14:paraId="06000000">
      <w:pPr>
        <w:spacing w:after="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  <w:t>На региональном и муниципальном уровне -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  <w:t xml:space="preserve"> исключить направление в образовательные организации писем о проведении различных мероприятий, дублирующих Календарный план областных мероприятий и образовательных событий на 2025 год;</w:t>
      </w:r>
      <w:r>
        <w:rPr>
          <w:rFonts w:ascii="XO Thames" w:hAnsi="XO Thames"/>
          <w:sz w:val="27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  <w:t xml:space="preserve"> исключить направление в образовательные организации писем и поручений об обязательном участии в диктантах по различным направлениям, обращать внимание на добровольность участия школьников и не требовать  максимальный охват участия;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  <w:t xml:space="preserve"> организовать с дошкольными образовательными организациями и организациями СПО информационно-разъяснительную работу о вступлении в силу  с 1 марта 2025 года  приказа Минпросвещения России от  06.11.2024 № 779, новой редакции части 4 статьи 29 Закона об образовании;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  <w:t> провести актуализацию регионального Календарного плана областных мероприятий и образовательных событий на 2025 год на основании перечней мероприятий Минпросвещения России, Минобрнауки России, Минспорта России, Росдетцентра.</w:t>
      </w:r>
    </w:p>
    <w:p w14:paraId="07000000">
      <w:pPr>
        <w:ind w:firstLine="680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В связи с обращениями руководителей школ по вопросам взаимодействия при организации питания в школах до конца 2025 года </w:t>
      </w:r>
      <w:r>
        <w:rPr>
          <w:rFonts w:ascii="XO Thames" w:hAnsi="XO Thames"/>
          <w:sz w:val="27"/>
        </w:rPr>
        <w:t xml:space="preserve">БУ СО ВО «Центр информатизации и оценки </w:t>
      </w:r>
      <w:r>
        <w:rPr>
          <w:rFonts w:ascii="XO Thames" w:hAnsi="XO Thames"/>
          <w:sz w:val="27"/>
        </w:rPr>
        <w:t xml:space="preserve">качества образования» </w:t>
      </w:r>
      <w:r>
        <w:rPr>
          <w:rFonts w:ascii="XO Thames" w:hAnsi="XO Thames"/>
          <w:sz w:val="27"/>
        </w:rPr>
        <w:t>поручено с</w:t>
      </w:r>
      <w:r>
        <w:rPr>
          <w:rFonts w:ascii="XO Thames" w:hAnsi="XO Thames"/>
          <w:sz w:val="27"/>
        </w:rPr>
        <w:t>оздать информационный ресурс, </w:t>
      </w:r>
      <w:r>
        <w:rPr>
          <w:rFonts w:ascii="XO Thames" w:hAnsi="XO Thames"/>
          <w:sz w:val="27"/>
        </w:rPr>
        <w:t>обеспечивающий сбор и обработку информации по организации питания и иным вопросам.</w:t>
      </w:r>
    </w:p>
    <w:p w14:paraId="08000000">
      <w:pPr>
        <w:spacing w:after="0" w:before="0"/>
        <w:ind w:firstLine="68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7"/>
          <w:highlight w:val="white"/>
        </w:rPr>
        <w:t xml:space="preserve">Специалистами Министерства образования области по поручению Рособрнадзора презентован сервис «Помощник Рособрнадзора», созданный на базе платформы «Сферум» с целью получения оперативных ответов на вопросы педагогических работников, связанные с бюрократической нагрузкой, который начнет функционировать на всей территории России в январе 2025 года. </w:t>
      </w:r>
    </w:p>
    <w:p w14:paraId="09000000">
      <w:pPr>
        <w:spacing w:after="0" w:before="0"/>
        <w:ind w:firstLine="68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7"/>
        </w:rPr>
        <w:t xml:space="preserve">Сведения о функционале и ссылка на чат-бот будут размещены на информационных ресурсах  Министерства и в каждом образовательном учреждении.  </w:t>
      </w:r>
    </w:p>
    <w:p w14:paraId="0A000000">
      <w:pPr>
        <w:ind w:firstLine="567" w:left="0"/>
        <w:rPr>
          <w:rFonts w:ascii="XO Thames" w:hAnsi="XO Thames"/>
          <w:sz w:val="28"/>
        </w:rPr>
      </w:pPr>
    </w:p>
    <w:p w14:paraId="0B000000">
      <w:pPr>
        <w:ind w:firstLine="567" w:left="0"/>
      </w:pPr>
      <w:r>
        <w:t xml:space="preserve"> </w:t>
      </w:r>
    </w:p>
    <w:sectPr>
      <w:pgSz w:h="16838" w:orient="portrait" w:w="11906"/>
      <w:pgMar w:bottom="255" w:footer="720" w:gutter="0" w:header="720" w:left="1304" w:right="73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</w:pPr>
    <w:rPr>
      <w:sz w:val="28"/>
    </w:rPr>
  </w:style>
  <w:style w:styleId="Style_8_ch" w:type="character">
    <w:name w:val="toc 3"/>
    <w:link w:val="Style_8"/>
    <w:rPr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9_ch" w:type="character">
    <w:name w:val="heading 5"/>
    <w:link w:val="Style_9"/>
    <w:rPr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next w:val="Style_1"/>
    <w:link w:val="Style_14_ch"/>
    <w:uiPriority w:val="39"/>
    <w:rPr>
      <w:b w:val="1"/>
      <w:sz w:val="28"/>
    </w:rPr>
  </w:style>
  <w:style w:styleId="Style_14_ch" w:type="character">
    <w:name w:val="toc 1"/>
    <w:link w:val="Style_14"/>
    <w:rPr>
      <w:b w:val="1"/>
      <w:sz w:val="28"/>
    </w:rPr>
  </w:style>
  <w:style w:styleId="Style_15" w:type="paragraph">
    <w:name w:val="Header and Footer"/>
    <w:link w:val="Style_15_ch"/>
    <w:pPr>
      <w:ind/>
      <w:jc w:val="both"/>
    </w:pPr>
    <w:rPr>
      <w:sz w:val="20"/>
    </w:rPr>
  </w:style>
  <w:style w:styleId="Style_15_ch" w:type="character">
    <w:name w:val="Header and Footer"/>
    <w:link w:val="Style_15"/>
    <w:rPr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  <w:rPr>
      <w:sz w:val="28"/>
    </w:rPr>
  </w:style>
  <w:style w:styleId="Style_16_ch" w:type="character">
    <w:name w:val="toc 9"/>
    <w:link w:val="Style_16"/>
    <w:rPr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</w:pPr>
    <w:rPr>
      <w:sz w:val="28"/>
    </w:rPr>
  </w:style>
  <w:style w:styleId="Style_17_ch" w:type="character">
    <w:name w:val="toc 8"/>
    <w:link w:val="Style_17"/>
    <w:rPr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</w:pPr>
    <w:rPr>
      <w:sz w:val="28"/>
    </w:rPr>
  </w:style>
  <w:style w:styleId="Style_18_ch" w:type="character">
    <w:name w:val="toc 5"/>
    <w:link w:val="Style_18"/>
    <w:rPr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i w:val="1"/>
    </w:rPr>
  </w:style>
  <w:style w:styleId="Style_20_ch" w:type="character">
    <w:name w:val="Subtitle"/>
    <w:link w:val="Style_20"/>
    <w:rPr>
      <w:i w:val="1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Обычный1"/>
    <w:link w:val="Style_23_ch"/>
    <w:rPr>
      <w:rFonts w:ascii="XO Thames" w:hAnsi="XO Thames"/>
      <w:sz w:val="28"/>
    </w:rPr>
  </w:style>
  <w:style w:styleId="Style_23_ch" w:type="character">
    <w:name w:val="Обычный1"/>
    <w:link w:val="Style_23"/>
    <w:rPr>
      <w:rFonts w:ascii="XO Thames" w:hAnsi="XO Thames"/>
      <w:sz w:val="28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2024-12-25T13:40:20Z</dcterms:modified>
</cp:coreProperties>
</file>